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0C21B3" w14:textId="43C3F0BB" w:rsidR="00EE3BE2" w:rsidRDefault="00000000">
      <w:pPr>
        <w:pStyle w:val="Heading3"/>
        <w:rPr>
          <w:rFonts w:ascii="Arial" w:hAnsi="Arial" w:cs="Arial"/>
        </w:rPr>
      </w:pPr>
      <w:bookmarkStart w:id="0" w:name="ubl-commodities-subcommittee-charter"/>
      <w:r>
        <w:rPr>
          <w:rFonts w:ascii="Arial" w:hAnsi="Arial" w:cs="Arial"/>
        </w:rPr>
        <w:t>UBL COMMODITIES SUBCOMMITTEE CHARTER</w:t>
      </w:r>
    </w:p>
    <w:p w14:paraId="4675A78B" w14:textId="77777777" w:rsidR="00EE3BE2" w:rsidRDefault="00000000">
      <w:pPr>
        <w:pStyle w:val="Heading4"/>
        <w:rPr>
          <w:rFonts w:ascii="Arial" w:hAnsi="Arial" w:cs="Arial"/>
        </w:rPr>
      </w:pPr>
      <w:r>
        <w:rPr>
          <w:rFonts w:ascii="Arial" w:hAnsi="Arial" w:cs="Arial"/>
          <w:b/>
        </w:rPr>
        <w:t>Statement of Purpose</w:t>
      </w:r>
    </w:p>
    <w:p w14:paraId="2AA95F55" w14:textId="72870625" w:rsidR="00EE3BE2" w:rsidRDefault="00000000">
      <w:pPr>
        <w:pStyle w:val="FirstParagraph"/>
        <w:rPr>
          <w:rFonts w:ascii="Arial" w:hAnsi="Arial" w:cs="Arial"/>
        </w:rPr>
      </w:pPr>
      <w:r>
        <w:rPr>
          <w:rFonts w:ascii="Arial" w:hAnsi="Arial" w:cs="Arial"/>
        </w:rPr>
        <w:t xml:space="preserve">The UBL Commodities Subcommittee is dedicated to developing and implementing standardized UBL document types and semantic library entries to support the trading and procurement processes of commodities. These commodities encompass a wide range of raw and recycled materials and primary agricultural products crucial to global supply chains and trade systems. Our goal is to enhance the efficiency, transparency, </w:t>
      </w:r>
      <w:r w:rsidR="00140258">
        <w:rPr>
          <w:rFonts w:ascii="Arial" w:hAnsi="Arial" w:cs="Arial"/>
        </w:rPr>
        <w:t xml:space="preserve">sustainability, </w:t>
      </w:r>
      <w:r>
        <w:rPr>
          <w:rFonts w:ascii="Arial" w:hAnsi="Arial" w:cs="Arial"/>
        </w:rPr>
        <w:t xml:space="preserve">and reliability of electronic trading and procurement in commodities markets through standardization, fostering better </w:t>
      </w:r>
      <w:r w:rsidR="006364D0">
        <w:rPr>
          <w:rFonts w:ascii="Arial" w:hAnsi="Arial" w:cs="Arial"/>
        </w:rPr>
        <w:t>interoperability</w:t>
      </w:r>
      <w:r w:rsidR="006364D0">
        <w:rPr>
          <w:rFonts w:ascii="Arial" w:hAnsi="Arial" w:cs="Arial"/>
        </w:rPr>
        <w:t xml:space="preserve"> </w:t>
      </w:r>
      <w:r w:rsidR="006364D0">
        <w:rPr>
          <w:rFonts w:ascii="Arial" w:hAnsi="Arial" w:cs="Arial"/>
        </w:rPr>
        <w:t xml:space="preserve">between </w:t>
      </w:r>
      <w:r w:rsidR="008F581D">
        <w:rPr>
          <w:rFonts w:ascii="Arial" w:hAnsi="Arial" w:cs="Arial"/>
        </w:rPr>
        <w:t xml:space="preserve">commercial </w:t>
      </w:r>
      <w:r w:rsidR="001C2FA7">
        <w:rPr>
          <w:rFonts w:ascii="Arial" w:hAnsi="Arial" w:cs="Arial"/>
        </w:rPr>
        <w:t xml:space="preserve">systems </w:t>
      </w:r>
      <w:r w:rsidR="008F581D">
        <w:rPr>
          <w:rFonts w:ascii="Arial" w:hAnsi="Arial" w:cs="Arial"/>
        </w:rPr>
        <w:t xml:space="preserve">as well as regulatory </w:t>
      </w:r>
      <w:r>
        <w:rPr>
          <w:rFonts w:ascii="Arial" w:hAnsi="Arial" w:cs="Arial"/>
        </w:rPr>
        <w:t>systems</w:t>
      </w:r>
      <w:r w:rsidR="006364D0">
        <w:rPr>
          <w:rFonts w:ascii="Arial" w:hAnsi="Arial" w:cs="Arial"/>
        </w:rPr>
        <w:t xml:space="preserve"> (e.g., national single window systems)</w:t>
      </w:r>
      <w:r>
        <w:rPr>
          <w:rFonts w:ascii="Arial" w:hAnsi="Arial" w:cs="Arial"/>
        </w:rPr>
        <w:t>, and ensuring compliance with international regulatory frameworks.</w:t>
      </w:r>
    </w:p>
    <w:p w14:paraId="3EBAFF92" w14:textId="77777777" w:rsidR="00EE3BE2" w:rsidRDefault="00000000">
      <w:pPr>
        <w:pStyle w:val="Heading4"/>
        <w:rPr>
          <w:rFonts w:ascii="Arial" w:hAnsi="Arial" w:cs="Arial"/>
        </w:rPr>
      </w:pPr>
      <w:bookmarkStart w:id="1" w:name="statement-of-purpose"/>
      <w:bookmarkEnd w:id="1"/>
      <w:r>
        <w:rPr>
          <w:rFonts w:ascii="Arial" w:hAnsi="Arial" w:cs="Arial"/>
          <w:b/>
        </w:rPr>
        <w:t>Scope of Work</w:t>
      </w:r>
    </w:p>
    <w:p w14:paraId="26EB46A7" w14:textId="77777777" w:rsidR="00EE3BE2" w:rsidRDefault="00000000">
      <w:pPr>
        <w:pStyle w:val="Compact"/>
        <w:numPr>
          <w:ilvl w:val="0"/>
          <w:numId w:val="8"/>
        </w:numPr>
        <w:rPr>
          <w:rFonts w:ascii="Arial" w:hAnsi="Arial" w:cs="Arial"/>
        </w:rPr>
      </w:pPr>
      <w:r>
        <w:rPr>
          <w:rFonts w:ascii="Arial" w:hAnsi="Arial" w:cs="Arial"/>
          <w:b/>
          <w:bCs/>
        </w:rPr>
        <w:t>Regulatory and Industry Collaboration</w:t>
      </w:r>
      <w:r>
        <w:rPr>
          <w:rFonts w:ascii="Arial" w:hAnsi="Arial" w:cs="Arial"/>
        </w:rPr>
        <w:t>:</w:t>
      </w:r>
    </w:p>
    <w:p w14:paraId="2B023A81" w14:textId="77777777" w:rsidR="00EE3BE2" w:rsidRDefault="00000000">
      <w:pPr>
        <w:pStyle w:val="Compact"/>
        <w:numPr>
          <w:ilvl w:val="1"/>
          <w:numId w:val="2"/>
        </w:numPr>
        <w:rPr>
          <w:rFonts w:ascii="Arial" w:hAnsi="Arial" w:cs="Arial"/>
        </w:rPr>
      </w:pPr>
      <w:r>
        <w:rPr>
          <w:rFonts w:ascii="Arial" w:hAnsi="Arial" w:cs="Arial"/>
        </w:rPr>
        <w:t>Engage with regulatory bodies, industry leaders, commodity traders, IT specialists, and end-users to gather comprehensive business, legal, and operational requirements.</w:t>
      </w:r>
    </w:p>
    <w:p w14:paraId="0F8B256F" w14:textId="77777777" w:rsidR="00EE3BE2" w:rsidRDefault="00000000">
      <w:pPr>
        <w:pStyle w:val="Compact"/>
        <w:numPr>
          <w:ilvl w:val="1"/>
          <w:numId w:val="2"/>
        </w:numPr>
        <w:rPr>
          <w:rFonts w:ascii="Arial" w:hAnsi="Arial" w:cs="Arial"/>
        </w:rPr>
      </w:pPr>
      <w:r>
        <w:rPr>
          <w:rFonts w:ascii="Arial" w:hAnsi="Arial" w:cs="Arial"/>
        </w:rPr>
        <w:t>Establish continuous feedback mechanisms with stakeholders to refine standards based on practical use and evolving market needs.</w:t>
      </w:r>
    </w:p>
    <w:p w14:paraId="7665EB13" w14:textId="2310ECD0" w:rsidR="00ED3CBC" w:rsidRPr="00ED3CBC" w:rsidRDefault="00000000" w:rsidP="00ED3CBC">
      <w:pPr>
        <w:pStyle w:val="Compact"/>
        <w:numPr>
          <w:ilvl w:val="1"/>
          <w:numId w:val="2"/>
        </w:numPr>
        <w:rPr>
          <w:rFonts w:ascii="Arial" w:hAnsi="Arial" w:cs="Arial"/>
        </w:rPr>
      </w:pPr>
      <w:r w:rsidRPr="00ED3CBC">
        <w:rPr>
          <w:rFonts w:ascii="Arial" w:hAnsi="Arial" w:cs="Arial"/>
        </w:rPr>
        <w:t>Contribute to existing UBL outreach initiatives such as workshops, webinars, and conferences to promote understanding and implementation of UBL in the context of commodities and their markets.</w:t>
      </w:r>
    </w:p>
    <w:p w14:paraId="024C1550" w14:textId="77777777" w:rsidR="00EE3BE2" w:rsidRDefault="00000000">
      <w:pPr>
        <w:pStyle w:val="Compact"/>
        <w:numPr>
          <w:ilvl w:val="0"/>
          <w:numId w:val="1"/>
        </w:numPr>
        <w:rPr>
          <w:rFonts w:ascii="Arial" w:hAnsi="Arial" w:cs="Arial"/>
        </w:rPr>
      </w:pPr>
      <w:r>
        <w:rPr>
          <w:rFonts w:ascii="Arial" w:hAnsi="Arial" w:cs="Arial"/>
          <w:b/>
          <w:bCs/>
        </w:rPr>
        <w:t>Development of Semantic Models</w:t>
      </w:r>
      <w:r>
        <w:rPr>
          <w:rFonts w:ascii="Arial" w:hAnsi="Arial" w:cs="Arial"/>
        </w:rPr>
        <w:t>:</w:t>
      </w:r>
    </w:p>
    <w:p w14:paraId="3BDA5356" w14:textId="77777777" w:rsidR="00EE3BE2" w:rsidRDefault="00000000">
      <w:pPr>
        <w:pStyle w:val="Compact"/>
        <w:numPr>
          <w:ilvl w:val="1"/>
          <w:numId w:val="9"/>
        </w:numPr>
        <w:rPr>
          <w:rFonts w:ascii="Arial" w:hAnsi="Arial" w:cs="Arial"/>
        </w:rPr>
      </w:pPr>
      <w:r>
        <w:rPr>
          <w:rFonts w:ascii="Arial" w:hAnsi="Arial" w:cs="Arial"/>
        </w:rPr>
        <w:t>Document and maintain semantic models for UBL Commodities trading and procurement, including suitable code lists and compatibility checks with existing financial, trade, and procurement standards.</w:t>
      </w:r>
    </w:p>
    <w:p w14:paraId="41BBE9B4" w14:textId="77777777" w:rsidR="00EE3BE2" w:rsidRDefault="00000000">
      <w:pPr>
        <w:pStyle w:val="Compact"/>
        <w:numPr>
          <w:ilvl w:val="1"/>
          <w:numId w:val="10"/>
        </w:numPr>
        <w:rPr>
          <w:rFonts w:ascii="Arial" w:hAnsi="Arial" w:cs="Arial"/>
        </w:rPr>
      </w:pPr>
      <w:r>
        <w:rPr>
          <w:rFonts w:ascii="Arial" w:hAnsi="Arial" w:cs="Arial"/>
        </w:rPr>
        <w:t>Develop dynamic frameworks to support updates to semantic libraries as market conditions and regulatory environments evolve.</w:t>
      </w:r>
    </w:p>
    <w:p w14:paraId="6101789A" w14:textId="77777777" w:rsidR="00EE3BE2" w:rsidRDefault="00000000">
      <w:pPr>
        <w:pStyle w:val="Compact"/>
        <w:numPr>
          <w:ilvl w:val="0"/>
          <w:numId w:val="1"/>
        </w:numPr>
        <w:rPr>
          <w:rFonts w:ascii="Arial" w:hAnsi="Arial" w:cs="Arial"/>
        </w:rPr>
      </w:pPr>
      <w:r>
        <w:rPr>
          <w:rFonts w:ascii="Arial" w:hAnsi="Arial" w:cs="Arial"/>
          <w:b/>
          <w:bCs/>
        </w:rPr>
        <w:t>Integration with Related Domains and Existing Standards</w:t>
      </w:r>
      <w:r>
        <w:rPr>
          <w:rFonts w:ascii="Arial" w:hAnsi="Arial" w:cs="Arial"/>
        </w:rPr>
        <w:t>:</w:t>
      </w:r>
    </w:p>
    <w:p w14:paraId="107CA076" w14:textId="77777777" w:rsidR="00EE3BE2" w:rsidRDefault="00000000">
      <w:pPr>
        <w:pStyle w:val="Compact"/>
        <w:numPr>
          <w:ilvl w:val="1"/>
          <w:numId w:val="11"/>
        </w:numPr>
        <w:rPr>
          <w:rFonts w:ascii="Arial" w:hAnsi="Arial" w:cs="Arial"/>
        </w:rPr>
      </w:pPr>
      <w:r>
        <w:rPr>
          <w:rFonts w:ascii="Arial" w:hAnsi="Arial" w:cs="Arial"/>
          <w:b/>
          <w:bCs/>
        </w:rPr>
        <w:t>Identify related ISO Committees and Industry Groups</w:t>
      </w:r>
      <w:r>
        <w:rPr>
          <w:rFonts w:ascii="Arial" w:hAnsi="Arial" w:cs="Arial"/>
        </w:rPr>
        <w:t>: Determine if liaison required for coordination with other ISO committees and other SDOs in commodities trading and procurement to ensure UBL’s alignment and avoid duplication of efforts.</w:t>
      </w:r>
    </w:p>
    <w:p w14:paraId="182493A7" w14:textId="6BAB618C" w:rsidR="00EE3BE2" w:rsidRDefault="00000000">
      <w:pPr>
        <w:pStyle w:val="Compact"/>
        <w:numPr>
          <w:ilvl w:val="1"/>
          <w:numId w:val="12"/>
        </w:numPr>
        <w:rPr>
          <w:rFonts w:ascii="Arial" w:hAnsi="Arial" w:cs="Arial"/>
        </w:rPr>
      </w:pPr>
      <w:r>
        <w:rPr>
          <w:rFonts w:ascii="Arial" w:hAnsi="Arial" w:cs="Arial"/>
          <w:b/>
          <w:bCs/>
        </w:rPr>
        <w:t>Harmonize with Sector-Specific Protocols</w:t>
      </w:r>
      <w:r>
        <w:rPr>
          <w:rFonts w:ascii="Arial" w:hAnsi="Arial" w:cs="Arial"/>
        </w:rPr>
        <w:t xml:space="preserve">: Develop guidelines for harmonizing UBL with sector-specific protocols that govern commodity transactions, including </w:t>
      </w:r>
      <w:r w:rsidR="00140258">
        <w:rPr>
          <w:rFonts w:ascii="Arial" w:hAnsi="Arial" w:cs="Arial"/>
        </w:rPr>
        <w:t xml:space="preserve">support for </w:t>
      </w:r>
      <w:r w:rsidR="004265AF">
        <w:rPr>
          <w:rFonts w:ascii="Arial" w:hAnsi="Arial" w:cs="Arial"/>
        </w:rPr>
        <w:t xml:space="preserve">the exchange of </w:t>
      </w:r>
      <w:r>
        <w:rPr>
          <w:rFonts w:ascii="Arial" w:hAnsi="Arial" w:cs="Arial"/>
        </w:rPr>
        <w:t>sustainability</w:t>
      </w:r>
      <w:r w:rsidR="00140258">
        <w:rPr>
          <w:rFonts w:ascii="Arial" w:hAnsi="Arial" w:cs="Arial"/>
        </w:rPr>
        <w:t>,</w:t>
      </w:r>
      <w:r>
        <w:rPr>
          <w:rFonts w:ascii="Arial" w:hAnsi="Arial" w:cs="Arial"/>
        </w:rPr>
        <w:t xml:space="preserve"> traceability</w:t>
      </w:r>
      <w:r w:rsidR="00140258">
        <w:rPr>
          <w:rFonts w:ascii="Arial" w:hAnsi="Arial" w:cs="Arial"/>
        </w:rPr>
        <w:t xml:space="preserve">, and circular economy </w:t>
      </w:r>
      <w:r w:rsidR="004265AF">
        <w:rPr>
          <w:rFonts w:ascii="Arial" w:hAnsi="Arial" w:cs="Arial"/>
        </w:rPr>
        <w:t xml:space="preserve">data </w:t>
      </w:r>
      <w:r>
        <w:rPr>
          <w:rFonts w:ascii="Arial" w:hAnsi="Arial" w:cs="Arial"/>
        </w:rPr>
        <w:t>to enhance the utility of UBL documents in real-world applications.</w:t>
      </w:r>
    </w:p>
    <w:p w14:paraId="4E413DC4" w14:textId="77777777" w:rsidR="00EE3BE2" w:rsidRDefault="00000000">
      <w:pPr>
        <w:pStyle w:val="Compact"/>
        <w:numPr>
          <w:ilvl w:val="1"/>
          <w:numId w:val="13"/>
        </w:numPr>
        <w:rPr>
          <w:rFonts w:ascii="Arial" w:hAnsi="Arial" w:cs="Arial"/>
        </w:rPr>
      </w:pPr>
      <w:r>
        <w:rPr>
          <w:rFonts w:ascii="Arial" w:hAnsi="Arial" w:cs="Arial"/>
          <w:b/>
          <w:bCs/>
        </w:rPr>
        <w:t>Regulatory Adaptability</w:t>
      </w:r>
      <w:r>
        <w:rPr>
          <w:rFonts w:ascii="Arial" w:hAnsi="Arial" w:cs="Arial"/>
        </w:rPr>
        <w:t>: Create a framework for adapting UBL documents to meet the diverse regulatory requirements encountered in global commodity trading. This includes compliance with different national laws and international agreements relevant to commodities.</w:t>
      </w:r>
    </w:p>
    <w:p w14:paraId="37EB68B6" w14:textId="77777777" w:rsidR="00EE3BE2" w:rsidRDefault="00000000">
      <w:pPr>
        <w:pStyle w:val="Compact"/>
        <w:numPr>
          <w:ilvl w:val="0"/>
          <w:numId w:val="1"/>
        </w:numPr>
        <w:rPr>
          <w:rFonts w:ascii="Arial" w:hAnsi="Arial" w:cs="Arial"/>
        </w:rPr>
      </w:pPr>
      <w:r>
        <w:rPr>
          <w:rFonts w:ascii="Arial" w:hAnsi="Arial" w:cs="Arial"/>
          <w:b/>
          <w:bCs/>
        </w:rPr>
        <w:t>Compliance and Traceability</w:t>
      </w:r>
      <w:r>
        <w:rPr>
          <w:rFonts w:ascii="Arial" w:hAnsi="Arial" w:cs="Arial"/>
        </w:rPr>
        <w:t>:</w:t>
      </w:r>
    </w:p>
    <w:p w14:paraId="5D1CE628" w14:textId="77777777" w:rsidR="00EE3BE2" w:rsidRDefault="00000000">
      <w:pPr>
        <w:pStyle w:val="Compact"/>
        <w:numPr>
          <w:ilvl w:val="1"/>
          <w:numId w:val="14"/>
        </w:numPr>
        <w:rPr>
          <w:rFonts w:ascii="Arial" w:hAnsi="Arial" w:cs="Arial"/>
        </w:rPr>
      </w:pPr>
      <w:r>
        <w:rPr>
          <w:rFonts w:ascii="Arial" w:hAnsi="Arial" w:cs="Arial"/>
        </w:rPr>
        <w:lastRenderedPageBreak/>
        <w:t>Propose relevant enhancements if any to the UBL standard to further comply with specific international trade laws, including data protection regulations and sustainability requirements as it relates to commodities.</w:t>
      </w:r>
    </w:p>
    <w:p w14:paraId="38B676C8" w14:textId="28CA1778" w:rsidR="00EE3BE2" w:rsidRDefault="00000000">
      <w:pPr>
        <w:pStyle w:val="Compact"/>
        <w:numPr>
          <w:ilvl w:val="1"/>
          <w:numId w:val="15"/>
        </w:numPr>
        <w:rPr>
          <w:rFonts w:ascii="Arial" w:hAnsi="Arial" w:cs="Arial"/>
        </w:rPr>
      </w:pPr>
      <w:r>
        <w:rPr>
          <w:rFonts w:ascii="Arial" w:hAnsi="Arial" w:cs="Arial"/>
        </w:rPr>
        <w:t>Propose relevant enhance</w:t>
      </w:r>
      <w:r w:rsidR="00795A18">
        <w:rPr>
          <w:rFonts w:ascii="Arial" w:hAnsi="Arial" w:cs="Arial"/>
        </w:rPr>
        <w:t>ments</w:t>
      </w:r>
      <w:r>
        <w:rPr>
          <w:rFonts w:ascii="Arial" w:hAnsi="Arial" w:cs="Arial"/>
        </w:rPr>
        <w:t xml:space="preserve"> to traceability mechanisms within UBL documents to meet stringent global standards for sustainability and ethical sourcing as it relates to commodities use cases, as well as finished products that incorporate traced materials.</w:t>
      </w:r>
    </w:p>
    <w:p w14:paraId="4AF79FDC" w14:textId="77777777" w:rsidR="00EE3BE2" w:rsidRDefault="00000000">
      <w:pPr>
        <w:pStyle w:val="Heading4"/>
        <w:rPr>
          <w:rFonts w:ascii="Arial" w:hAnsi="Arial" w:cs="Arial"/>
        </w:rPr>
      </w:pPr>
      <w:bookmarkStart w:id="2" w:name="scope-of-work"/>
      <w:bookmarkStart w:id="3" w:name="list-of-deliverables"/>
      <w:bookmarkEnd w:id="2"/>
      <w:r>
        <w:rPr>
          <w:rFonts w:ascii="Arial" w:hAnsi="Arial" w:cs="Arial"/>
          <w:b/>
        </w:rPr>
        <w:t>List of Deliverables</w:t>
      </w:r>
    </w:p>
    <w:p w14:paraId="18BCA686" w14:textId="77777777" w:rsidR="00EE3BE2" w:rsidRDefault="00000000">
      <w:pPr>
        <w:pStyle w:val="Compact"/>
        <w:numPr>
          <w:ilvl w:val="0"/>
          <w:numId w:val="16"/>
        </w:numPr>
        <w:rPr>
          <w:rFonts w:ascii="Arial" w:hAnsi="Arial" w:cs="Arial"/>
        </w:rPr>
      </w:pPr>
      <w:r>
        <w:rPr>
          <w:rFonts w:ascii="Arial" w:hAnsi="Arial" w:cs="Arial"/>
          <w:b/>
          <w:bCs/>
        </w:rPr>
        <w:t>UBL Standard Drafts</w:t>
      </w:r>
      <w:r>
        <w:rPr>
          <w:rFonts w:ascii="Arial" w:hAnsi="Arial" w:cs="Arial"/>
        </w:rPr>
        <w:t>: Initial and revised drafts of UBL documents for commodities trading and procurement, and traceability.</w:t>
      </w:r>
    </w:p>
    <w:p w14:paraId="184D0FDD" w14:textId="77777777" w:rsidR="00EE3BE2" w:rsidRDefault="00000000">
      <w:pPr>
        <w:pStyle w:val="Compact"/>
        <w:numPr>
          <w:ilvl w:val="0"/>
          <w:numId w:val="17"/>
        </w:numPr>
        <w:rPr>
          <w:rFonts w:ascii="Arial" w:hAnsi="Arial" w:cs="Arial"/>
        </w:rPr>
      </w:pPr>
      <w:r>
        <w:rPr>
          <w:rFonts w:ascii="Arial" w:hAnsi="Arial" w:cs="Arial"/>
          <w:b/>
          <w:bCs/>
        </w:rPr>
        <w:t>Stakeholder Engagement Reports</w:t>
      </w:r>
      <w:r>
        <w:rPr>
          <w:rFonts w:ascii="Arial" w:hAnsi="Arial" w:cs="Arial"/>
        </w:rPr>
        <w:t>: Summary of feedback and insights from industry consultations and pilot testing.</w:t>
      </w:r>
    </w:p>
    <w:p w14:paraId="5F665911" w14:textId="77777777" w:rsidR="00EE3BE2" w:rsidRDefault="00000000">
      <w:pPr>
        <w:pStyle w:val="Compact"/>
        <w:numPr>
          <w:ilvl w:val="0"/>
          <w:numId w:val="18"/>
        </w:numPr>
        <w:rPr>
          <w:rFonts w:ascii="Arial" w:hAnsi="Arial" w:cs="Arial"/>
        </w:rPr>
      </w:pPr>
      <w:r>
        <w:rPr>
          <w:rFonts w:ascii="Arial" w:hAnsi="Arial" w:cs="Arial"/>
          <w:b/>
          <w:bCs/>
        </w:rPr>
        <w:t>Technical Specifications and Compatibility Reports</w:t>
      </w:r>
      <w:r>
        <w:rPr>
          <w:rFonts w:ascii="Arial" w:hAnsi="Arial" w:cs="Arial"/>
        </w:rPr>
        <w:t>: Detailed descriptions of semantic models and mappings with other standards.</w:t>
      </w:r>
    </w:p>
    <w:p w14:paraId="7473BB76" w14:textId="77777777" w:rsidR="00EE3BE2" w:rsidRDefault="00000000">
      <w:pPr>
        <w:pStyle w:val="Compact"/>
        <w:numPr>
          <w:ilvl w:val="0"/>
          <w:numId w:val="19"/>
        </w:numPr>
        <w:rPr>
          <w:rFonts w:ascii="Arial" w:hAnsi="Arial" w:cs="Arial"/>
        </w:rPr>
      </w:pPr>
      <w:r>
        <w:rPr>
          <w:rFonts w:ascii="Arial" w:hAnsi="Arial" w:cs="Arial"/>
          <w:b/>
          <w:bCs/>
        </w:rPr>
        <w:t>Outreach and Up-to-Date Clear Documentation</w:t>
      </w:r>
      <w:r>
        <w:rPr>
          <w:rFonts w:ascii="Arial" w:hAnsi="Arial" w:cs="Arial"/>
        </w:rPr>
        <w:t xml:space="preserve">: Provides updated documentation and informative materials to facilitate adherence to standards. </w:t>
      </w:r>
    </w:p>
    <w:p w14:paraId="6766D25B" w14:textId="07CD3F40" w:rsidR="00EE3BE2" w:rsidRPr="00ED3CBC" w:rsidRDefault="00000000" w:rsidP="00ED3CBC">
      <w:pPr>
        <w:pStyle w:val="Compact"/>
        <w:numPr>
          <w:ilvl w:val="0"/>
          <w:numId w:val="20"/>
        </w:numPr>
        <w:rPr>
          <w:rFonts w:ascii="Arial" w:hAnsi="Arial" w:cs="Arial"/>
        </w:rPr>
      </w:pPr>
      <w:r>
        <w:rPr>
          <w:rFonts w:ascii="Arial" w:hAnsi="Arial" w:cs="Arial"/>
          <w:b/>
          <w:bCs/>
        </w:rPr>
        <w:t>Implementation Roadmap and Support Materials</w:t>
      </w:r>
      <w:r>
        <w:rPr>
          <w:rFonts w:ascii="Arial" w:hAnsi="Arial" w:cs="Arial"/>
        </w:rPr>
        <w:t>: Step-by-step guides and support materials for adopting UBL standards in commodities markets and trading systems.</w:t>
      </w:r>
      <w:bookmarkEnd w:id="0"/>
      <w:bookmarkEnd w:id="3"/>
    </w:p>
    <w:sectPr w:rsidR="00EE3BE2" w:rsidRPr="00ED3CBC">
      <w:pgSz w:w="12240" w:h="15840"/>
      <w:pgMar w:top="1440" w:right="1440" w:bottom="1440" w:left="1440" w:header="0" w:footer="0" w:gutter="0"/>
      <w:cols w:space="720"/>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2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Liberation Sans">
    <w:altName w:val="Arial"/>
    <w:panose1 w:val="020B0604020202020204"/>
    <w:charset w:val="01"/>
    <w:family w:val="swiss"/>
    <w:pitch w:val="default"/>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4D"/>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F3D0A"/>
    <w:multiLevelType w:val="multilevel"/>
    <w:tmpl w:val="BB6A88F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2DF318D"/>
    <w:multiLevelType w:val="multilevel"/>
    <w:tmpl w:val="4528806E"/>
    <w:lvl w:ilvl="0">
      <w:numFmt w:val="bullet"/>
      <w:lvlText w:val=""/>
      <w:lvlJc w:val="left"/>
      <w:pPr>
        <w:tabs>
          <w:tab w:val="num" w:pos="0"/>
        </w:tabs>
        <w:ind w:left="720" w:hanging="480"/>
      </w:pPr>
      <w:rPr>
        <w:rFonts w:ascii="Symbol" w:hAnsi="Symbol" w:cs="Symbol" w:hint="default"/>
      </w:rPr>
    </w:lvl>
    <w:lvl w:ilvl="1">
      <w:numFmt w:val="bullet"/>
      <w:lvlText w:val=""/>
      <w:lvlJc w:val="left"/>
      <w:pPr>
        <w:tabs>
          <w:tab w:val="num" w:pos="0"/>
        </w:tabs>
        <w:ind w:left="1440" w:hanging="480"/>
      </w:pPr>
      <w:rPr>
        <w:rFonts w:ascii="Symbol" w:hAnsi="Symbol" w:cs="Symbol" w:hint="default"/>
      </w:rPr>
    </w:lvl>
    <w:lvl w:ilvl="2">
      <w:numFmt w:val="bullet"/>
      <w:lvlText w:val=""/>
      <w:lvlJc w:val="left"/>
      <w:pPr>
        <w:tabs>
          <w:tab w:val="num" w:pos="0"/>
        </w:tabs>
        <w:ind w:left="2160" w:hanging="480"/>
      </w:pPr>
      <w:rPr>
        <w:rFonts w:ascii="Symbol" w:hAnsi="Symbol" w:cs="Symbol" w:hint="default"/>
      </w:rPr>
    </w:lvl>
    <w:lvl w:ilvl="3">
      <w:numFmt w:val="bullet"/>
      <w:lvlText w:val=""/>
      <w:lvlJc w:val="left"/>
      <w:pPr>
        <w:tabs>
          <w:tab w:val="num" w:pos="0"/>
        </w:tabs>
        <w:ind w:left="2880" w:hanging="480"/>
      </w:pPr>
      <w:rPr>
        <w:rFonts w:ascii="Symbol" w:hAnsi="Symbol" w:cs="Symbol" w:hint="default"/>
      </w:rPr>
    </w:lvl>
    <w:lvl w:ilvl="4">
      <w:numFmt w:val="bullet"/>
      <w:lvlText w:val=""/>
      <w:lvlJc w:val="left"/>
      <w:pPr>
        <w:tabs>
          <w:tab w:val="num" w:pos="0"/>
        </w:tabs>
        <w:ind w:left="3600" w:hanging="480"/>
      </w:pPr>
      <w:rPr>
        <w:rFonts w:ascii="Symbol" w:hAnsi="Symbol" w:cs="Symbol" w:hint="default"/>
      </w:rPr>
    </w:lvl>
    <w:lvl w:ilvl="5">
      <w:numFmt w:val="bullet"/>
      <w:lvlText w:val=""/>
      <w:lvlJc w:val="left"/>
      <w:pPr>
        <w:tabs>
          <w:tab w:val="num" w:pos="0"/>
        </w:tabs>
        <w:ind w:left="4320" w:hanging="480"/>
      </w:pPr>
      <w:rPr>
        <w:rFonts w:ascii="Symbol" w:hAnsi="Symbol" w:cs="Symbol" w:hint="default"/>
      </w:rPr>
    </w:lvl>
    <w:lvl w:ilvl="6">
      <w:numFmt w:val="bullet"/>
      <w:lvlText w:val=""/>
      <w:lvlJc w:val="left"/>
      <w:pPr>
        <w:tabs>
          <w:tab w:val="num" w:pos="0"/>
        </w:tabs>
        <w:ind w:left="5040" w:hanging="480"/>
      </w:pPr>
      <w:rPr>
        <w:rFonts w:ascii="Symbol" w:hAnsi="Symbol" w:cs="Symbol" w:hint="default"/>
      </w:rPr>
    </w:lvl>
    <w:lvl w:ilvl="7">
      <w:numFmt w:val="bullet"/>
      <w:lvlText w:val=""/>
      <w:lvlJc w:val="left"/>
      <w:pPr>
        <w:tabs>
          <w:tab w:val="num" w:pos="0"/>
        </w:tabs>
        <w:ind w:left="5760" w:hanging="480"/>
      </w:pPr>
      <w:rPr>
        <w:rFonts w:ascii="Symbol" w:hAnsi="Symbol" w:cs="Symbol" w:hint="default"/>
      </w:rPr>
    </w:lvl>
    <w:lvl w:ilvl="8">
      <w:numFmt w:val="bullet"/>
      <w:lvlText w:val=""/>
      <w:lvlJc w:val="left"/>
      <w:pPr>
        <w:tabs>
          <w:tab w:val="num" w:pos="0"/>
        </w:tabs>
        <w:ind w:left="6480" w:hanging="480"/>
      </w:pPr>
      <w:rPr>
        <w:rFonts w:ascii="Symbol" w:hAnsi="Symbol" w:cs="Symbol" w:hint="default"/>
      </w:rPr>
    </w:lvl>
  </w:abstractNum>
  <w:abstractNum w:abstractNumId="2" w15:restartNumberingAfterBreak="0">
    <w:nsid w:val="24532F41"/>
    <w:multiLevelType w:val="multilevel"/>
    <w:tmpl w:val="24648114"/>
    <w:lvl w:ilvl="0">
      <w:start w:val="1"/>
      <w:numFmt w:val="decimal"/>
      <w:lvlText w:val="%1."/>
      <w:lvlJc w:val="left"/>
      <w:pPr>
        <w:tabs>
          <w:tab w:val="num" w:pos="0"/>
        </w:tabs>
        <w:ind w:left="720" w:hanging="480"/>
      </w:pPr>
    </w:lvl>
    <w:lvl w:ilvl="1">
      <w:start w:val="1"/>
      <w:numFmt w:val="decimal"/>
      <w:lvlText w:val="%2."/>
      <w:lvlJc w:val="left"/>
      <w:pPr>
        <w:tabs>
          <w:tab w:val="num" w:pos="0"/>
        </w:tabs>
        <w:ind w:left="1440" w:hanging="480"/>
      </w:pPr>
    </w:lvl>
    <w:lvl w:ilvl="2">
      <w:start w:val="1"/>
      <w:numFmt w:val="decimal"/>
      <w:lvlText w:val="%3."/>
      <w:lvlJc w:val="left"/>
      <w:pPr>
        <w:tabs>
          <w:tab w:val="num" w:pos="0"/>
        </w:tabs>
        <w:ind w:left="2160" w:hanging="480"/>
      </w:pPr>
    </w:lvl>
    <w:lvl w:ilvl="3">
      <w:start w:val="1"/>
      <w:numFmt w:val="decimal"/>
      <w:lvlText w:val="%4."/>
      <w:lvlJc w:val="left"/>
      <w:pPr>
        <w:tabs>
          <w:tab w:val="num" w:pos="0"/>
        </w:tabs>
        <w:ind w:left="2880" w:hanging="480"/>
      </w:pPr>
    </w:lvl>
    <w:lvl w:ilvl="4">
      <w:start w:val="1"/>
      <w:numFmt w:val="decimal"/>
      <w:lvlText w:val="%5."/>
      <w:lvlJc w:val="left"/>
      <w:pPr>
        <w:tabs>
          <w:tab w:val="num" w:pos="0"/>
        </w:tabs>
        <w:ind w:left="3600" w:hanging="480"/>
      </w:pPr>
    </w:lvl>
    <w:lvl w:ilvl="5">
      <w:start w:val="1"/>
      <w:numFmt w:val="decimal"/>
      <w:lvlText w:val="%6."/>
      <w:lvlJc w:val="left"/>
      <w:pPr>
        <w:tabs>
          <w:tab w:val="num" w:pos="0"/>
        </w:tabs>
        <w:ind w:left="4320" w:hanging="480"/>
      </w:pPr>
    </w:lvl>
    <w:lvl w:ilvl="6">
      <w:start w:val="1"/>
      <w:numFmt w:val="decimal"/>
      <w:lvlText w:val="%7."/>
      <w:lvlJc w:val="left"/>
      <w:pPr>
        <w:tabs>
          <w:tab w:val="num" w:pos="0"/>
        </w:tabs>
        <w:ind w:left="5040" w:hanging="480"/>
      </w:pPr>
    </w:lvl>
    <w:lvl w:ilvl="7">
      <w:start w:val="1"/>
      <w:numFmt w:val="decimal"/>
      <w:lvlText w:val="%8."/>
      <w:lvlJc w:val="left"/>
      <w:pPr>
        <w:tabs>
          <w:tab w:val="num" w:pos="0"/>
        </w:tabs>
        <w:ind w:left="5760" w:hanging="480"/>
      </w:pPr>
    </w:lvl>
    <w:lvl w:ilvl="8">
      <w:start w:val="1"/>
      <w:numFmt w:val="decimal"/>
      <w:lvlText w:val="%9."/>
      <w:lvlJc w:val="left"/>
      <w:pPr>
        <w:tabs>
          <w:tab w:val="num" w:pos="0"/>
        </w:tabs>
        <w:ind w:left="6480" w:hanging="480"/>
      </w:pPr>
    </w:lvl>
  </w:abstractNum>
  <w:abstractNum w:abstractNumId="3" w15:restartNumberingAfterBreak="0">
    <w:nsid w:val="365E6620"/>
    <w:multiLevelType w:val="multilevel"/>
    <w:tmpl w:val="6F66F70A"/>
    <w:lvl w:ilvl="0">
      <w:numFmt w:val="bullet"/>
      <w:lvlText w:val=""/>
      <w:lvlJc w:val="left"/>
      <w:pPr>
        <w:tabs>
          <w:tab w:val="num" w:pos="0"/>
        </w:tabs>
        <w:ind w:left="720" w:hanging="480"/>
      </w:pPr>
      <w:rPr>
        <w:rFonts w:ascii="Symbol" w:hAnsi="Symbol" w:cs="Symbol" w:hint="default"/>
      </w:rPr>
    </w:lvl>
    <w:lvl w:ilvl="1">
      <w:numFmt w:val="bullet"/>
      <w:lvlText w:val=""/>
      <w:lvlJc w:val="left"/>
      <w:pPr>
        <w:tabs>
          <w:tab w:val="num" w:pos="0"/>
        </w:tabs>
        <w:ind w:left="1440" w:hanging="480"/>
      </w:pPr>
      <w:rPr>
        <w:rFonts w:ascii="Symbol" w:hAnsi="Symbol" w:cs="Symbol" w:hint="default"/>
      </w:rPr>
    </w:lvl>
    <w:lvl w:ilvl="2">
      <w:numFmt w:val="bullet"/>
      <w:lvlText w:val=""/>
      <w:lvlJc w:val="left"/>
      <w:pPr>
        <w:tabs>
          <w:tab w:val="num" w:pos="0"/>
        </w:tabs>
        <w:ind w:left="2160" w:hanging="480"/>
      </w:pPr>
      <w:rPr>
        <w:rFonts w:ascii="Symbol" w:hAnsi="Symbol" w:cs="Symbol" w:hint="default"/>
      </w:rPr>
    </w:lvl>
    <w:lvl w:ilvl="3">
      <w:numFmt w:val="bullet"/>
      <w:lvlText w:val=""/>
      <w:lvlJc w:val="left"/>
      <w:pPr>
        <w:tabs>
          <w:tab w:val="num" w:pos="0"/>
        </w:tabs>
        <w:ind w:left="2880" w:hanging="480"/>
      </w:pPr>
      <w:rPr>
        <w:rFonts w:ascii="Symbol" w:hAnsi="Symbol" w:cs="Symbol" w:hint="default"/>
      </w:rPr>
    </w:lvl>
    <w:lvl w:ilvl="4">
      <w:numFmt w:val="bullet"/>
      <w:lvlText w:val=""/>
      <w:lvlJc w:val="left"/>
      <w:pPr>
        <w:tabs>
          <w:tab w:val="num" w:pos="0"/>
        </w:tabs>
        <w:ind w:left="3600" w:hanging="480"/>
      </w:pPr>
      <w:rPr>
        <w:rFonts w:ascii="Symbol" w:hAnsi="Symbol" w:cs="Symbol" w:hint="default"/>
      </w:rPr>
    </w:lvl>
    <w:lvl w:ilvl="5">
      <w:numFmt w:val="bullet"/>
      <w:lvlText w:val=""/>
      <w:lvlJc w:val="left"/>
      <w:pPr>
        <w:tabs>
          <w:tab w:val="num" w:pos="0"/>
        </w:tabs>
        <w:ind w:left="4320" w:hanging="480"/>
      </w:pPr>
      <w:rPr>
        <w:rFonts w:ascii="Symbol" w:hAnsi="Symbol" w:cs="Symbol" w:hint="default"/>
      </w:rPr>
    </w:lvl>
    <w:lvl w:ilvl="6">
      <w:numFmt w:val="bullet"/>
      <w:lvlText w:val=""/>
      <w:lvlJc w:val="left"/>
      <w:pPr>
        <w:tabs>
          <w:tab w:val="num" w:pos="0"/>
        </w:tabs>
        <w:ind w:left="5040" w:hanging="480"/>
      </w:pPr>
      <w:rPr>
        <w:rFonts w:ascii="Symbol" w:hAnsi="Symbol" w:cs="Symbol" w:hint="default"/>
      </w:rPr>
    </w:lvl>
    <w:lvl w:ilvl="7">
      <w:numFmt w:val="bullet"/>
      <w:lvlText w:val=""/>
      <w:lvlJc w:val="left"/>
      <w:pPr>
        <w:tabs>
          <w:tab w:val="num" w:pos="0"/>
        </w:tabs>
        <w:ind w:left="5760" w:hanging="480"/>
      </w:pPr>
      <w:rPr>
        <w:rFonts w:ascii="Symbol" w:hAnsi="Symbol" w:cs="Symbol" w:hint="default"/>
      </w:rPr>
    </w:lvl>
    <w:lvl w:ilvl="8">
      <w:numFmt w:val="bullet"/>
      <w:lvlText w:val=""/>
      <w:lvlJc w:val="left"/>
      <w:pPr>
        <w:tabs>
          <w:tab w:val="num" w:pos="0"/>
        </w:tabs>
        <w:ind w:left="6480" w:hanging="480"/>
      </w:pPr>
      <w:rPr>
        <w:rFonts w:ascii="Symbol" w:hAnsi="Symbol" w:cs="Symbol" w:hint="default"/>
      </w:rPr>
    </w:lvl>
  </w:abstractNum>
  <w:abstractNum w:abstractNumId="4" w15:restartNumberingAfterBreak="0">
    <w:nsid w:val="3D6E6398"/>
    <w:multiLevelType w:val="multilevel"/>
    <w:tmpl w:val="2842BEB8"/>
    <w:lvl w:ilvl="0">
      <w:numFmt w:val="bullet"/>
      <w:lvlText w:val=""/>
      <w:lvlJc w:val="left"/>
      <w:pPr>
        <w:tabs>
          <w:tab w:val="num" w:pos="0"/>
        </w:tabs>
        <w:ind w:left="720" w:hanging="480"/>
      </w:pPr>
      <w:rPr>
        <w:rFonts w:ascii="Symbol" w:hAnsi="Symbol" w:cs="Symbol" w:hint="default"/>
      </w:rPr>
    </w:lvl>
    <w:lvl w:ilvl="1">
      <w:numFmt w:val="bullet"/>
      <w:lvlText w:val=""/>
      <w:lvlJc w:val="left"/>
      <w:pPr>
        <w:tabs>
          <w:tab w:val="num" w:pos="0"/>
        </w:tabs>
        <w:ind w:left="1440" w:hanging="480"/>
      </w:pPr>
      <w:rPr>
        <w:rFonts w:ascii="Symbol" w:hAnsi="Symbol" w:cs="Symbol" w:hint="default"/>
      </w:rPr>
    </w:lvl>
    <w:lvl w:ilvl="2">
      <w:numFmt w:val="bullet"/>
      <w:lvlText w:val=""/>
      <w:lvlJc w:val="left"/>
      <w:pPr>
        <w:tabs>
          <w:tab w:val="num" w:pos="0"/>
        </w:tabs>
        <w:ind w:left="2160" w:hanging="480"/>
      </w:pPr>
      <w:rPr>
        <w:rFonts w:ascii="Symbol" w:hAnsi="Symbol" w:cs="Symbol" w:hint="default"/>
      </w:rPr>
    </w:lvl>
    <w:lvl w:ilvl="3">
      <w:numFmt w:val="bullet"/>
      <w:lvlText w:val=""/>
      <w:lvlJc w:val="left"/>
      <w:pPr>
        <w:tabs>
          <w:tab w:val="num" w:pos="0"/>
        </w:tabs>
        <w:ind w:left="2880" w:hanging="480"/>
      </w:pPr>
      <w:rPr>
        <w:rFonts w:ascii="Symbol" w:hAnsi="Symbol" w:cs="Symbol" w:hint="default"/>
      </w:rPr>
    </w:lvl>
    <w:lvl w:ilvl="4">
      <w:numFmt w:val="bullet"/>
      <w:lvlText w:val=""/>
      <w:lvlJc w:val="left"/>
      <w:pPr>
        <w:tabs>
          <w:tab w:val="num" w:pos="0"/>
        </w:tabs>
        <w:ind w:left="3600" w:hanging="480"/>
      </w:pPr>
      <w:rPr>
        <w:rFonts w:ascii="Symbol" w:hAnsi="Symbol" w:cs="Symbol" w:hint="default"/>
      </w:rPr>
    </w:lvl>
    <w:lvl w:ilvl="5">
      <w:numFmt w:val="bullet"/>
      <w:lvlText w:val=""/>
      <w:lvlJc w:val="left"/>
      <w:pPr>
        <w:tabs>
          <w:tab w:val="num" w:pos="0"/>
        </w:tabs>
        <w:ind w:left="4320" w:hanging="480"/>
      </w:pPr>
      <w:rPr>
        <w:rFonts w:ascii="Symbol" w:hAnsi="Symbol" w:cs="Symbol" w:hint="default"/>
      </w:rPr>
    </w:lvl>
    <w:lvl w:ilvl="6">
      <w:numFmt w:val="bullet"/>
      <w:lvlText w:val=""/>
      <w:lvlJc w:val="left"/>
      <w:pPr>
        <w:tabs>
          <w:tab w:val="num" w:pos="0"/>
        </w:tabs>
        <w:ind w:left="5040" w:hanging="480"/>
      </w:pPr>
      <w:rPr>
        <w:rFonts w:ascii="Symbol" w:hAnsi="Symbol" w:cs="Symbol" w:hint="default"/>
      </w:rPr>
    </w:lvl>
    <w:lvl w:ilvl="7">
      <w:numFmt w:val="bullet"/>
      <w:lvlText w:val=""/>
      <w:lvlJc w:val="left"/>
      <w:pPr>
        <w:tabs>
          <w:tab w:val="num" w:pos="0"/>
        </w:tabs>
        <w:ind w:left="5760" w:hanging="480"/>
      </w:pPr>
      <w:rPr>
        <w:rFonts w:ascii="Symbol" w:hAnsi="Symbol" w:cs="Symbol" w:hint="default"/>
      </w:rPr>
    </w:lvl>
    <w:lvl w:ilvl="8">
      <w:numFmt w:val="bullet"/>
      <w:lvlText w:val=""/>
      <w:lvlJc w:val="left"/>
      <w:pPr>
        <w:tabs>
          <w:tab w:val="num" w:pos="0"/>
        </w:tabs>
        <w:ind w:left="6480" w:hanging="480"/>
      </w:pPr>
      <w:rPr>
        <w:rFonts w:ascii="Symbol" w:hAnsi="Symbol" w:cs="Symbol" w:hint="default"/>
      </w:rPr>
    </w:lvl>
  </w:abstractNum>
  <w:abstractNum w:abstractNumId="5" w15:restartNumberingAfterBreak="0">
    <w:nsid w:val="46D34BC5"/>
    <w:multiLevelType w:val="multilevel"/>
    <w:tmpl w:val="377ABFDA"/>
    <w:lvl w:ilvl="0">
      <w:start w:val="1"/>
      <w:numFmt w:val="decimal"/>
      <w:lvlText w:val="%1."/>
      <w:lvlJc w:val="left"/>
      <w:pPr>
        <w:tabs>
          <w:tab w:val="num" w:pos="0"/>
        </w:tabs>
        <w:ind w:left="720" w:hanging="480"/>
      </w:pPr>
    </w:lvl>
    <w:lvl w:ilvl="1">
      <w:start w:val="1"/>
      <w:numFmt w:val="decimal"/>
      <w:lvlText w:val="%2."/>
      <w:lvlJc w:val="left"/>
      <w:pPr>
        <w:tabs>
          <w:tab w:val="num" w:pos="0"/>
        </w:tabs>
        <w:ind w:left="1440" w:hanging="480"/>
      </w:pPr>
    </w:lvl>
    <w:lvl w:ilvl="2">
      <w:start w:val="1"/>
      <w:numFmt w:val="decimal"/>
      <w:lvlText w:val="%3."/>
      <w:lvlJc w:val="left"/>
      <w:pPr>
        <w:tabs>
          <w:tab w:val="num" w:pos="0"/>
        </w:tabs>
        <w:ind w:left="2160" w:hanging="480"/>
      </w:pPr>
    </w:lvl>
    <w:lvl w:ilvl="3">
      <w:start w:val="1"/>
      <w:numFmt w:val="decimal"/>
      <w:lvlText w:val="%4."/>
      <w:lvlJc w:val="left"/>
      <w:pPr>
        <w:tabs>
          <w:tab w:val="num" w:pos="0"/>
        </w:tabs>
        <w:ind w:left="2880" w:hanging="480"/>
      </w:pPr>
    </w:lvl>
    <w:lvl w:ilvl="4">
      <w:start w:val="1"/>
      <w:numFmt w:val="decimal"/>
      <w:lvlText w:val="%5."/>
      <w:lvlJc w:val="left"/>
      <w:pPr>
        <w:tabs>
          <w:tab w:val="num" w:pos="0"/>
        </w:tabs>
        <w:ind w:left="3600" w:hanging="480"/>
      </w:pPr>
    </w:lvl>
    <w:lvl w:ilvl="5">
      <w:start w:val="1"/>
      <w:numFmt w:val="decimal"/>
      <w:lvlText w:val="%6."/>
      <w:lvlJc w:val="left"/>
      <w:pPr>
        <w:tabs>
          <w:tab w:val="num" w:pos="0"/>
        </w:tabs>
        <w:ind w:left="4320" w:hanging="480"/>
      </w:pPr>
    </w:lvl>
    <w:lvl w:ilvl="6">
      <w:start w:val="1"/>
      <w:numFmt w:val="decimal"/>
      <w:lvlText w:val="%7."/>
      <w:lvlJc w:val="left"/>
      <w:pPr>
        <w:tabs>
          <w:tab w:val="num" w:pos="0"/>
        </w:tabs>
        <w:ind w:left="5040" w:hanging="480"/>
      </w:pPr>
    </w:lvl>
    <w:lvl w:ilvl="7">
      <w:start w:val="1"/>
      <w:numFmt w:val="decimal"/>
      <w:lvlText w:val="%8."/>
      <w:lvlJc w:val="left"/>
      <w:pPr>
        <w:tabs>
          <w:tab w:val="num" w:pos="0"/>
        </w:tabs>
        <w:ind w:left="5760" w:hanging="480"/>
      </w:pPr>
    </w:lvl>
    <w:lvl w:ilvl="8">
      <w:start w:val="1"/>
      <w:numFmt w:val="decimal"/>
      <w:lvlText w:val="%9."/>
      <w:lvlJc w:val="left"/>
      <w:pPr>
        <w:tabs>
          <w:tab w:val="num" w:pos="0"/>
        </w:tabs>
        <w:ind w:left="6480" w:hanging="480"/>
      </w:pPr>
    </w:lvl>
  </w:abstractNum>
  <w:abstractNum w:abstractNumId="6" w15:restartNumberingAfterBreak="0">
    <w:nsid w:val="79807F40"/>
    <w:multiLevelType w:val="multilevel"/>
    <w:tmpl w:val="1A36EB3C"/>
    <w:lvl w:ilvl="0">
      <w:numFmt w:val="bullet"/>
      <w:lvlText w:val=""/>
      <w:lvlJc w:val="left"/>
      <w:pPr>
        <w:tabs>
          <w:tab w:val="num" w:pos="0"/>
        </w:tabs>
        <w:ind w:left="720" w:hanging="480"/>
      </w:pPr>
      <w:rPr>
        <w:rFonts w:ascii="Symbol" w:hAnsi="Symbol" w:cs="Symbol" w:hint="default"/>
      </w:rPr>
    </w:lvl>
    <w:lvl w:ilvl="1">
      <w:numFmt w:val="bullet"/>
      <w:lvlText w:val=""/>
      <w:lvlJc w:val="left"/>
      <w:pPr>
        <w:tabs>
          <w:tab w:val="num" w:pos="0"/>
        </w:tabs>
        <w:ind w:left="1440" w:hanging="480"/>
      </w:pPr>
      <w:rPr>
        <w:rFonts w:ascii="Symbol" w:hAnsi="Symbol" w:cs="Symbol" w:hint="default"/>
      </w:rPr>
    </w:lvl>
    <w:lvl w:ilvl="2">
      <w:numFmt w:val="bullet"/>
      <w:lvlText w:val=""/>
      <w:lvlJc w:val="left"/>
      <w:pPr>
        <w:tabs>
          <w:tab w:val="num" w:pos="0"/>
        </w:tabs>
        <w:ind w:left="2160" w:hanging="480"/>
      </w:pPr>
      <w:rPr>
        <w:rFonts w:ascii="Symbol" w:hAnsi="Symbol" w:cs="Symbol" w:hint="default"/>
      </w:rPr>
    </w:lvl>
    <w:lvl w:ilvl="3">
      <w:numFmt w:val="bullet"/>
      <w:lvlText w:val=""/>
      <w:lvlJc w:val="left"/>
      <w:pPr>
        <w:tabs>
          <w:tab w:val="num" w:pos="0"/>
        </w:tabs>
        <w:ind w:left="2880" w:hanging="480"/>
      </w:pPr>
      <w:rPr>
        <w:rFonts w:ascii="Symbol" w:hAnsi="Symbol" w:cs="Symbol" w:hint="default"/>
      </w:rPr>
    </w:lvl>
    <w:lvl w:ilvl="4">
      <w:numFmt w:val="bullet"/>
      <w:lvlText w:val=""/>
      <w:lvlJc w:val="left"/>
      <w:pPr>
        <w:tabs>
          <w:tab w:val="num" w:pos="0"/>
        </w:tabs>
        <w:ind w:left="3600" w:hanging="480"/>
      </w:pPr>
      <w:rPr>
        <w:rFonts w:ascii="Symbol" w:hAnsi="Symbol" w:cs="Symbol" w:hint="default"/>
      </w:rPr>
    </w:lvl>
    <w:lvl w:ilvl="5">
      <w:numFmt w:val="bullet"/>
      <w:lvlText w:val=""/>
      <w:lvlJc w:val="left"/>
      <w:pPr>
        <w:tabs>
          <w:tab w:val="num" w:pos="0"/>
        </w:tabs>
        <w:ind w:left="4320" w:hanging="480"/>
      </w:pPr>
      <w:rPr>
        <w:rFonts w:ascii="Symbol" w:hAnsi="Symbol" w:cs="Symbol" w:hint="default"/>
      </w:rPr>
    </w:lvl>
    <w:lvl w:ilvl="6">
      <w:numFmt w:val="bullet"/>
      <w:lvlText w:val=""/>
      <w:lvlJc w:val="left"/>
      <w:pPr>
        <w:tabs>
          <w:tab w:val="num" w:pos="0"/>
        </w:tabs>
        <w:ind w:left="5040" w:hanging="480"/>
      </w:pPr>
      <w:rPr>
        <w:rFonts w:ascii="Symbol" w:hAnsi="Symbol" w:cs="Symbol" w:hint="default"/>
      </w:rPr>
    </w:lvl>
    <w:lvl w:ilvl="7">
      <w:numFmt w:val="bullet"/>
      <w:lvlText w:val=""/>
      <w:lvlJc w:val="left"/>
      <w:pPr>
        <w:tabs>
          <w:tab w:val="num" w:pos="0"/>
        </w:tabs>
        <w:ind w:left="5760" w:hanging="480"/>
      </w:pPr>
      <w:rPr>
        <w:rFonts w:ascii="Symbol" w:hAnsi="Symbol" w:cs="Symbol" w:hint="default"/>
      </w:rPr>
    </w:lvl>
    <w:lvl w:ilvl="8">
      <w:numFmt w:val="bullet"/>
      <w:lvlText w:val=""/>
      <w:lvlJc w:val="left"/>
      <w:pPr>
        <w:tabs>
          <w:tab w:val="num" w:pos="0"/>
        </w:tabs>
        <w:ind w:left="6480" w:hanging="480"/>
      </w:pPr>
      <w:rPr>
        <w:rFonts w:ascii="Symbol" w:hAnsi="Symbol" w:cs="Symbol" w:hint="default"/>
      </w:rPr>
    </w:lvl>
  </w:abstractNum>
  <w:num w:numId="1" w16cid:durableId="1917207201">
    <w:abstractNumId w:val="2"/>
  </w:num>
  <w:num w:numId="2" w16cid:durableId="289819835">
    <w:abstractNumId w:val="1"/>
  </w:num>
  <w:num w:numId="3" w16cid:durableId="241306292">
    <w:abstractNumId w:val="4"/>
  </w:num>
  <w:num w:numId="4" w16cid:durableId="1273896245">
    <w:abstractNumId w:val="3"/>
  </w:num>
  <w:num w:numId="5" w16cid:durableId="367528963">
    <w:abstractNumId w:val="6"/>
  </w:num>
  <w:num w:numId="6" w16cid:durableId="1718816085">
    <w:abstractNumId w:val="5"/>
  </w:num>
  <w:num w:numId="7" w16cid:durableId="2111463472">
    <w:abstractNumId w:val="0"/>
  </w:num>
  <w:num w:numId="8" w16cid:durableId="2139033511">
    <w:abstractNumId w:val="2"/>
    <w:lvlOverride w:ilvl="0">
      <w:startOverride w:val="1"/>
    </w:lvlOverride>
  </w:num>
  <w:num w:numId="9" w16cid:durableId="176118459">
    <w:abstractNumId w:val="1"/>
  </w:num>
  <w:num w:numId="10" w16cid:durableId="880283029">
    <w:abstractNumId w:val="1"/>
  </w:num>
  <w:num w:numId="11" w16cid:durableId="50201135">
    <w:abstractNumId w:val="1"/>
  </w:num>
  <w:num w:numId="12" w16cid:durableId="345399411">
    <w:abstractNumId w:val="1"/>
  </w:num>
  <w:num w:numId="13" w16cid:durableId="254826030">
    <w:abstractNumId w:val="1"/>
  </w:num>
  <w:num w:numId="14" w16cid:durableId="698433121">
    <w:abstractNumId w:val="1"/>
  </w:num>
  <w:num w:numId="15" w16cid:durableId="379672095">
    <w:abstractNumId w:val="1"/>
  </w:num>
  <w:num w:numId="16" w16cid:durableId="1166827479">
    <w:abstractNumId w:val="2"/>
    <w:lvlOverride w:ilvl="0">
      <w:startOverride w:val="1"/>
    </w:lvlOverride>
  </w:num>
  <w:num w:numId="17" w16cid:durableId="273749481">
    <w:abstractNumId w:val="2"/>
  </w:num>
  <w:num w:numId="18" w16cid:durableId="1874343455">
    <w:abstractNumId w:val="2"/>
  </w:num>
  <w:num w:numId="19" w16cid:durableId="82143954">
    <w:abstractNumId w:val="2"/>
  </w:num>
  <w:num w:numId="20" w16cid:durableId="7076044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defaultTabStop w:val="720"/>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BE2"/>
    <w:rsid w:val="00140258"/>
    <w:rsid w:val="001533AC"/>
    <w:rsid w:val="001C2FA7"/>
    <w:rsid w:val="004210DD"/>
    <w:rsid w:val="004265AF"/>
    <w:rsid w:val="005A24DE"/>
    <w:rsid w:val="00630476"/>
    <w:rsid w:val="006364D0"/>
    <w:rsid w:val="00795A18"/>
    <w:rsid w:val="008F581D"/>
    <w:rsid w:val="00B72E43"/>
    <w:rsid w:val="00D4613D"/>
    <w:rsid w:val="00E37B25"/>
    <w:rsid w:val="00E9331A"/>
    <w:rsid w:val="00ED3CBC"/>
    <w:rsid w:val="00EE3BE2"/>
    <w:rsid w:val="00FF539F"/>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27250B08"/>
  <w15:docId w15:val="{6C50D271-31E0-DE4C-AF4C-6F1FA8CC4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uppressAutoHyphens/>
      </w:pPr>
    </w:pPrDefault>
  </w:docDefaults>
  <w:latentStyles w:defLockedState="0" w:defUIPriority="0" w:defSemiHidden="0" w:defUnhideWhenUsed="0" w:defQFormat="0" w:count="376">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00"/>
    </w:p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4F81BD" w:themeColor="accent1"/>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28"/>
      <w:szCs w:val="28"/>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Cs/>
      <w:i/>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aptionChar">
    <w:name w:val="Caption Char"/>
    <w:basedOn w:val="DefaultParagraphFont"/>
    <w:link w:val="Caption"/>
    <w:qFormat/>
  </w:style>
  <w:style w:type="character" w:customStyle="1" w:styleId="VerbatimChar">
    <w:name w:val="Verbatim Char"/>
    <w:basedOn w:val="CaptionChar"/>
    <w:link w:val="SourceCode"/>
    <w:qFormat/>
    <w:rPr>
      <w:rFonts w:ascii="Consolas" w:hAnsi="Consolas"/>
      <w:sz w:val="22"/>
    </w:rPr>
  </w:style>
  <w:style w:type="character" w:customStyle="1" w:styleId="SectionNumber">
    <w:name w:val="Section Number"/>
    <w:basedOn w:val="CaptionChar"/>
    <w:qFormat/>
  </w:style>
  <w:style w:type="character" w:customStyle="1" w:styleId="FootnoteCharacters">
    <w:name w:val="Footnote Characters"/>
    <w:basedOn w:val="CaptionChar"/>
    <w:qFormat/>
    <w:rPr>
      <w:vertAlign w:val="superscript"/>
    </w:rPr>
  </w:style>
  <w:style w:type="character" w:styleId="FootnoteReference">
    <w:name w:val="footnote reference"/>
    <w:rPr>
      <w:vertAlign w:val="superscript"/>
    </w:rPr>
  </w:style>
  <w:style w:type="character" w:styleId="Hyperlink">
    <w:name w:val="Hyperlink"/>
    <w:basedOn w:val="CaptionChar"/>
    <w:rPr>
      <w:color w:val="4F81BD" w:themeColor="accent1"/>
    </w:rPr>
  </w:style>
  <w:style w:type="character" w:customStyle="1" w:styleId="KeywordTok">
    <w:name w:val="KeywordTok"/>
    <w:basedOn w:val="VerbatimChar"/>
    <w:qFormat/>
    <w:rPr>
      <w:rFonts w:ascii="Consolas" w:hAnsi="Consolas"/>
      <w:b/>
      <w:color w:val="007020"/>
      <w:sz w:val="22"/>
    </w:rPr>
  </w:style>
  <w:style w:type="character" w:customStyle="1" w:styleId="DataTypeTok">
    <w:name w:val="DataTypeTok"/>
    <w:basedOn w:val="VerbatimChar"/>
    <w:qFormat/>
    <w:rPr>
      <w:rFonts w:ascii="Consolas" w:hAnsi="Consolas"/>
      <w:color w:val="902000"/>
      <w:sz w:val="22"/>
    </w:rPr>
  </w:style>
  <w:style w:type="character" w:customStyle="1" w:styleId="DecValTok">
    <w:name w:val="DecValTok"/>
    <w:basedOn w:val="VerbatimChar"/>
    <w:qFormat/>
    <w:rPr>
      <w:rFonts w:ascii="Consolas" w:hAnsi="Consolas"/>
      <w:color w:val="40A070"/>
      <w:sz w:val="22"/>
    </w:rPr>
  </w:style>
  <w:style w:type="character" w:customStyle="1" w:styleId="BaseNTok">
    <w:name w:val="BaseNTok"/>
    <w:basedOn w:val="VerbatimChar"/>
    <w:qFormat/>
    <w:rPr>
      <w:rFonts w:ascii="Consolas" w:hAnsi="Consolas"/>
      <w:color w:val="40A070"/>
      <w:sz w:val="22"/>
    </w:rPr>
  </w:style>
  <w:style w:type="character" w:customStyle="1" w:styleId="FloatTok">
    <w:name w:val="FloatTok"/>
    <w:basedOn w:val="VerbatimChar"/>
    <w:qFormat/>
    <w:rPr>
      <w:rFonts w:ascii="Consolas" w:hAnsi="Consolas"/>
      <w:color w:val="40A070"/>
      <w:sz w:val="22"/>
    </w:rPr>
  </w:style>
  <w:style w:type="character" w:customStyle="1" w:styleId="ConstantTok">
    <w:name w:val="ConstantTok"/>
    <w:basedOn w:val="VerbatimChar"/>
    <w:qFormat/>
    <w:rPr>
      <w:rFonts w:ascii="Consolas" w:hAnsi="Consolas"/>
      <w:color w:val="880000"/>
      <w:sz w:val="22"/>
    </w:rPr>
  </w:style>
  <w:style w:type="character" w:customStyle="1" w:styleId="CharTok">
    <w:name w:val="CharTok"/>
    <w:basedOn w:val="VerbatimChar"/>
    <w:qFormat/>
    <w:rPr>
      <w:rFonts w:ascii="Consolas" w:hAnsi="Consolas"/>
      <w:color w:val="4070A0"/>
      <w:sz w:val="22"/>
    </w:rPr>
  </w:style>
  <w:style w:type="character" w:customStyle="1" w:styleId="SpecialCharTok">
    <w:name w:val="SpecialCharTok"/>
    <w:basedOn w:val="VerbatimChar"/>
    <w:qFormat/>
    <w:rPr>
      <w:rFonts w:ascii="Consolas" w:hAnsi="Consolas"/>
      <w:color w:val="4070A0"/>
      <w:sz w:val="22"/>
    </w:rPr>
  </w:style>
  <w:style w:type="character" w:customStyle="1" w:styleId="StringTok">
    <w:name w:val="StringTok"/>
    <w:basedOn w:val="VerbatimChar"/>
    <w:qFormat/>
    <w:rPr>
      <w:rFonts w:ascii="Consolas" w:hAnsi="Consolas"/>
      <w:color w:val="4070A0"/>
      <w:sz w:val="22"/>
    </w:rPr>
  </w:style>
  <w:style w:type="character" w:customStyle="1" w:styleId="VerbatimStringTok">
    <w:name w:val="VerbatimStringTok"/>
    <w:basedOn w:val="VerbatimChar"/>
    <w:qFormat/>
    <w:rPr>
      <w:rFonts w:ascii="Consolas" w:hAnsi="Consolas"/>
      <w:color w:val="4070A0"/>
      <w:sz w:val="22"/>
    </w:rPr>
  </w:style>
  <w:style w:type="character" w:customStyle="1" w:styleId="SpecialStringTok">
    <w:name w:val="SpecialStringTok"/>
    <w:basedOn w:val="VerbatimChar"/>
    <w:qFormat/>
    <w:rPr>
      <w:rFonts w:ascii="Consolas" w:hAnsi="Consolas"/>
      <w:color w:val="BB6688"/>
      <w:sz w:val="22"/>
    </w:rPr>
  </w:style>
  <w:style w:type="character" w:customStyle="1" w:styleId="ImportTok">
    <w:name w:val="ImportTok"/>
    <w:basedOn w:val="VerbatimChar"/>
    <w:qFormat/>
    <w:rPr>
      <w:rFonts w:ascii="Consolas" w:hAnsi="Consolas"/>
      <w:b/>
      <w:color w:val="008000"/>
      <w:sz w:val="22"/>
    </w:rPr>
  </w:style>
  <w:style w:type="character" w:customStyle="1" w:styleId="CommentTok">
    <w:name w:val="CommentTok"/>
    <w:basedOn w:val="VerbatimChar"/>
    <w:qFormat/>
    <w:rPr>
      <w:rFonts w:ascii="Consolas" w:hAnsi="Consolas"/>
      <w:i/>
      <w:color w:val="60A0B0"/>
      <w:sz w:val="22"/>
    </w:rPr>
  </w:style>
  <w:style w:type="character" w:customStyle="1" w:styleId="DocumentationTok">
    <w:name w:val="DocumentationTok"/>
    <w:basedOn w:val="VerbatimChar"/>
    <w:qFormat/>
    <w:rPr>
      <w:rFonts w:ascii="Consolas" w:hAnsi="Consolas"/>
      <w:i/>
      <w:color w:val="BA2121"/>
      <w:sz w:val="22"/>
    </w:rPr>
  </w:style>
  <w:style w:type="character" w:customStyle="1" w:styleId="AnnotationTok">
    <w:name w:val="AnnotationTok"/>
    <w:basedOn w:val="VerbatimChar"/>
    <w:qFormat/>
    <w:rPr>
      <w:rFonts w:ascii="Consolas" w:hAnsi="Consolas"/>
      <w:b/>
      <w:i/>
      <w:color w:val="60A0B0"/>
      <w:sz w:val="22"/>
    </w:rPr>
  </w:style>
  <w:style w:type="character" w:customStyle="1" w:styleId="CommentVarTok">
    <w:name w:val="CommentVarTok"/>
    <w:basedOn w:val="VerbatimChar"/>
    <w:qFormat/>
    <w:rPr>
      <w:rFonts w:ascii="Consolas" w:hAnsi="Consolas"/>
      <w:b/>
      <w:i/>
      <w:color w:val="60A0B0"/>
      <w:sz w:val="22"/>
    </w:rPr>
  </w:style>
  <w:style w:type="character" w:customStyle="1" w:styleId="OtherTok">
    <w:name w:val="OtherTok"/>
    <w:basedOn w:val="VerbatimChar"/>
    <w:qFormat/>
    <w:rPr>
      <w:rFonts w:ascii="Consolas" w:hAnsi="Consolas"/>
      <w:color w:val="007020"/>
      <w:sz w:val="22"/>
    </w:rPr>
  </w:style>
  <w:style w:type="character" w:customStyle="1" w:styleId="FunctionTok">
    <w:name w:val="FunctionTok"/>
    <w:basedOn w:val="VerbatimChar"/>
    <w:qFormat/>
    <w:rPr>
      <w:rFonts w:ascii="Consolas" w:hAnsi="Consolas"/>
      <w:color w:val="06287E"/>
      <w:sz w:val="22"/>
    </w:rPr>
  </w:style>
  <w:style w:type="character" w:customStyle="1" w:styleId="VariableTok">
    <w:name w:val="VariableTok"/>
    <w:basedOn w:val="VerbatimChar"/>
    <w:qFormat/>
    <w:rPr>
      <w:rFonts w:ascii="Consolas" w:hAnsi="Consolas"/>
      <w:color w:val="19177C"/>
      <w:sz w:val="22"/>
    </w:rPr>
  </w:style>
  <w:style w:type="character" w:customStyle="1" w:styleId="ControlFlowTok">
    <w:name w:val="ControlFlowTok"/>
    <w:basedOn w:val="VerbatimChar"/>
    <w:qFormat/>
    <w:rPr>
      <w:rFonts w:ascii="Consolas" w:hAnsi="Consolas"/>
      <w:b/>
      <w:color w:val="007020"/>
      <w:sz w:val="22"/>
    </w:rPr>
  </w:style>
  <w:style w:type="character" w:customStyle="1" w:styleId="OperatorTok">
    <w:name w:val="OperatorTok"/>
    <w:basedOn w:val="VerbatimChar"/>
    <w:qFormat/>
    <w:rPr>
      <w:rFonts w:ascii="Consolas" w:hAnsi="Consolas"/>
      <w:color w:val="666666"/>
      <w:sz w:val="22"/>
    </w:rPr>
  </w:style>
  <w:style w:type="character" w:customStyle="1" w:styleId="BuiltInTok">
    <w:name w:val="BuiltInTok"/>
    <w:basedOn w:val="VerbatimChar"/>
    <w:qFormat/>
    <w:rPr>
      <w:rFonts w:ascii="Consolas" w:hAnsi="Consolas"/>
      <w:color w:val="008000"/>
      <w:sz w:val="22"/>
    </w:rPr>
  </w:style>
  <w:style w:type="character" w:customStyle="1" w:styleId="ExtensionTok">
    <w:name w:val="ExtensionTok"/>
    <w:basedOn w:val="VerbatimChar"/>
    <w:qFormat/>
    <w:rPr>
      <w:rFonts w:ascii="Consolas" w:hAnsi="Consolas"/>
      <w:sz w:val="22"/>
    </w:rPr>
  </w:style>
  <w:style w:type="character" w:customStyle="1" w:styleId="PreprocessorTok">
    <w:name w:val="PreprocessorTok"/>
    <w:basedOn w:val="VerbatimChar"/>
    <w:qFormat/>
    <w:rPr>
      <w:rFonts w:ascii="Consolas" w:hAnsi="Consolas"/>
      <w:color w:val="BC7A00"/>
      <w:sz w:val="22"/>
    </w:rPr>
  </w:style>
  <w:style w:type="character" w:customStyle="1" w:styleId="AttributeTok">
    <w:name w:val="AttributeTok"/>
    <w:basedOn w:val="VerbatimChar"/>
    <w:qFormat/>
    <w:rPr>
      <w:rFonts w:ascii="Consolas" w:hAnsi="Consolas"/>
      <w:color w:val="7D9029"/>
      <w:sz w:val="22"/>
    </w:rPr>
  </w:style>
  <w:style w:type="character" w:customStyle="1" w:styleId="RegionMarkerTok">
    <w:name w:val="RegionMarkerTok"/>
    <w:basedOn w:val="VerbatimChar"/>
    <w:qFormat/>
    <w:rPr>
      <w:rFonts w:ascii="Consolas" w:hAnsi="Consolas"/>
      <w:sz w:val="22"/>
    </w:rPr>
  </w:style>
  <w:style w:type="character" w:customStyle="1" w:styleId="InformationTok">
    <w:name w:val="InformationTok"/>
    <w:basedOn w:val="VerbatimChar"/>
    <w:qFormat/>
    <w:rPr>
      <w:rFonts w:ascii="Consolas" w:hAnsi="Consolas"/>
      <w:b/>
      <w:i/>
      <w:color w:val="60A0B0"/>
      <w:sz w:val="22"/>
    </w:rPr>
  </w:style>
  <w:style w:type="character" w:customStyle="1" w:styleId="WarningTok">
    <w:name w:val="WarningTok"/>
    <w:basedOn w:val="VerbatimChar"/>
    <w:qFormat/>
    <w:rPr>
      <w:rFonts w:ascii="Consolas" w:hAnsi="Consolas"/>
      <w:b/>
      <w:i/>
      <w:color w:val="60A0B0"/>
      <w:sz w:val="22"/>
    </w:rPr>
  </w:style>
  <w:style w:type="character" w:customStyle="1" w:styleId="AlertTok">
    <w:name w:val="AlertTok"/>
    <w:basedOn w:val="VerbatimChar"/>
    <w:qFormat/>
    <w:rPr>
      <w:rFonts w:ascii="Consolas" w:hAnsi="Consolas"/>
      <w:b/>
      <w:color w:val="FF0000"/>
      <w:sz w:val="22"/>
    </w:rPr>
  </w:style>
  <w:style w:type="character" w:customStyle="1" w:styleId="ErrorTok">
    <w:name w:val="ErrorTok"/>
    <w:basedOn w:val="VerbatimChar"/>
    <w:qFormat/>
    <w:rPr>
      <w:rFonts w:ascii="Consolas" w:hAnsi="Consolas"/>
      <w:b/>
      <w:color w:val="FF0000"/>
      <w:sz w:val="22"/>
    </w:rPr>
  </w:style>
  <w:style w:type="character" w:customStyle="1" w:styleId="NormalTok">
    <w:name w:val="NormalTok"/>
    <w:basedOn w:val="VerbatimChar"/>
    <w:qFormat/>
    <w:rPr>
      <w:rFonts w:ascii="Consolas" w:hAnsi="Consolas"/>
      <w:sz w:val="22"/>
    </w:rPr>
  </w:style>
  <w:style w:type="character" w:styleId="LineNumber">
    <w:name w:val="line numbe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qFormat/>
    <w:pPr>
      <w:spacing w:before="180" w:after="180"/>
    </w:pPr>
  </w:style>
  <w:style w:type="paragraph" w:styleId="List">
    <w:name w:val="List"/>
    <w:basedOn w:val="BodyText"/>
    <w:rPr>
      <w:rFonts w:ascii="Liberation Sans" w:hAnsi="Liberation Sans" w:cs="Lucida Sans"/>
    </w:rPr>
  </w:style>
  <w:style w:type="paragraph" w:styleId="Caption">
    <w:name w:val="caption"/>
    <w:basedOn w:val="Normal"/>
    <w:link w:val="CaptionChar"/>
    <w:qFormat/>
    <w:pPr>
      <w:spacing w:after="120"/>
    </w:pPr>
    <w:rPr>
      <w:i/>
    </w:rPr>
  </w:style>
  <w:style w:type="paragraph" w:customStyle="1" w:styleId="Index">
    <w:name w:val="Index"/>
    <w:basedOn w:val="Normal"/>
    <w:qFormat/>
    <w:pPr>
      <w:suppressLineNumbers/>
    </w:pPr>
    <w:rPr>
      <w:rFonts w:ascii="Liberation Sans" w:hAnsi="Liberation Sans" w:cs="Lucida Sans"/>
    </w:r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spacing w:after="200"/>
      <w:jc w:val="center"/>
    </w:pPr>
  </w:style>
  <w:style w:type="paragraph" w:styleId="Date">
    <w:name w:val="Date"/>
    <w:next w:val="BodyText"/>
    <w:qFormat/>
    <w:pPr>
      <w:keepNext/>
      <w:keepLines/>
      <w:spacing w:after="200"/>
      <w:jc w:val="center"/>
    </w:pPr>
  </w:style>
  <w:style w:type="paragraph" w:customStyle="1" w:styleId="AbstractTitle">
    <w:name w:val="Abstract Title"/>
    <w:basedOn w:val="Normal"/>
    <w:next w:val="Abstract"/>
    <w:qFormat/>
    <w:pPr>
      <w:keepNext/>
      <w:keepLines/>
      <w:spacing w:before="300" w:after="0"/>
      <w:jc w:val="center"/>
    </w:pPr>
    <w:rPr>
      <w:b/>
      <w:color w:val="345A8A"/>
      <w:sz w:val="20"/>
      <w:szCs w:val="20"/>
    </w:rPr>
  </w:style>
  <w:style w:type="paragraph" w:customStyle="1" w:styleId="Abstract">
    <w:name w:val="Abstract"/>
    <w:basedOn w:val="Normal"/>
    <w:next w:val="BodyText"/>
    <w:qFormat/>
    <w:pPr>
      <w:keepNext/>
      <w:keepLines/>
      <w:spacing w:before="1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ind w:left="480" w:right="480"/>
    </w:pPr>
  </w:style>
  <w:style w:type="paragraph" w:styleId="FootnoteText">
    <w:name w:val="footnote text"/>
    <w:basedOn w:val="Normal"/>
    <w:uiPriority w:val="9"/>
    <w:unhideWhenUsed/>
    <w:qFormat/>
  </w:style>
  <w:style w:type="paragraph" w:customStyle="1" w:styleId="FootnoteBlockText">
    <w:name w:val="Footnote Block Text"/>
    <w:uiPriority w:val="9"/>
    <w:unhideWhenUsed/>
    <w:qFormat/>
    <w:pPr>
      <w:spacing w:before="100" w:after="100"/>
      <w:ind w:left="480" w:right="480"/>
    </w:pPr>
  </w:style>
  <w:style w:type="paragraph" w:customStyle="1" w:styleId="DefinitionTerm">
    <w:name w:val="Definition Term"/>
    <w:basedOn w:val="Normal"/>
    <w:next w:val="Definition"/>
    <w:qFormat/>
    <w:pPr>
      <w:keepNext/>
      <w:keepLines/>
      <w:spacing w:after="0"/>
    </w:pPr>
    <w:rPr>
      <w:b/>
    </w:rPr>
  </w:style>
  <w:style w:type="paragraph" w:customStyle="1" w:styleId="Definition">
    <w:name w:val="Definition"/>
    <w:basedOn w:val="Normal"/>
    <w:qFormat/>
  </w:style>
  <w:style w:type="paragraph" w:customStyle="1" w:styleId="TableCaption">
    <w:name w:val="Table Caption"/>
    <w:basedOn w:val="Caption"/>
    <w:qFormat/>
    <w:pPr>
      <w:keepNext/>
    </w:pPr>
  </w:style>
  <w:style w:type="paragraph" w:customStyle="1" w:styleId="ImageCaption">
    <w:name w:val="Image Caption"/>
    <w:basedOn w:val="Caption"/>
    <w:qFormat/>
  </w:style>
  <w:style w:type="paragraph" w:customStyle="1" w:styleId="Figure">
    <w:name w:val="Figure"/>
    <w:basedOn w:val="Normal"/>
    <w:qFormat/>
  </w:style>
  <w:style w:type="paragraph" w:customStyle="1" w:styleId="CaptionedFigure">
    <w:name w:val="Captioned Figure"/>
    <w:basedOn w:val="Figure"/>
    <w:qFormat/>
    <w:pPr>
      <w:keepNext/>
    </w:pPr>
  </w:style>
  <w:style w:type="paragraph" w:styleId="IndexHeading">
    <w:name w:val="index heading"/>
    <w:basedOn w:val="Heading"/>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qFormat/>
  </w:style>
  <w:style w:type="table" w:customStyle="1" w:styleId="Table">
    <w:name w:val="Table"/>
    <w:semiHidden/>
    <w:unhideWhenUsed/>
    <w:qFormat/>
    <w:tblPr>
      <w:tblCellMar>
        <w:top w:w="0" w:type="dxa"/>
        <w:left w:w="108" w:type="dxa"/>
        <w:bottom w:w="0" w:type="dxa"/>
        <w:right w:w="108" w:type="dxa"/>
      </w:tblCellMar>
    </w:tblPr>
    <w:tblStylePr w:type="firstRow">
      <w:tblPr/>
      <w:tcPr>
        <w:tcBorders>
          <w:bottom w:val="single" w:sz="0" w:space="0" w:color="auto"/>
        </w:tcBorders>
        <w:vAlign w:val="bottom"/>
      </w:tcPr>
    </w:tblStylePr>
  </w:style>
  <w:style w:type="paragraph" w:styleId="Revision">
    <w:name w:val="Revision"/>
    <w:hidden/>
    <w:rsid w:val="00795A18"/>
    <w:pPr>
      <w:suppressAutoHyphens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558</Words>
  <Characters>3182</Characters>
  <Application>Microsoft Office Word</Application>
  <DocSecurity>0</DocSecurity>
  <Lines>26</Lines>
  <Paragraphs>7</Paragraphs>
  <ScaleCrop>false</ScaleCrop>
  <Company/>
  <LinksUpToDate>false</LinksUpToDate>
  <CharactersWithSpaces>3733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Coletta</dc:creator>
  <dc:description/>
  <cp:lastModifiedBy>Kenneth Bengtsson</cp:lastModifiedBy>
  <cp:revision>4</cp:revision>
  <dcterms:created xsi:type="dcterms:W3CDTF">2024-05-01T15:17:00Z</dcterms:created>
  <dcterms:modified xsi:type="dcterms:W3CDTF">2024-05-01T15:17:00Z</dcterms:modified>
  <dc:language>en-US</dc:language>
</cp:coreProperties>
</file>